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862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6283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00"/>
          </w:cols>
          <w:pgMar w:left="460" w:top="216" w:right="37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gridSpan w:val="2"/>
            <w:vMerge w:val="restart"/>
          </w:tcPr>
          <w:p>
            <w:pPr>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DUNCAN BRUCE W</w:t>
              </w:r>
            </w:hyperlink>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BXP,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BXP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80" w:type="dxa"/>
            <w:vAlign w:val="bottom"/>
            <w:tcBorders>
              <w:bottom w:val="single" w:sz="8" w:color="0000EE"/>
            </w:tcBorders>
            <w:gridSpan w:val="2"/>
            <w:vMerge w:val="continue"/>
          </w:tcPr>
          <w:p>
            <w:pPr>
              <w:spacing w:after="0"/>
              <w:rPr>
                <w:sz w:val="5"/>
                <w:szCs w:val="5"/>
                <w:color w:val="auto"/>
              </w:rPr>
            </w:pPr>
          </w:p>
        </w:tc>
        <w:tc>
          <w:tcPr>
            <w:tcW w:w="1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29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9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74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840" w:type="dxa"/>
            <w:vAlign w:val="bottom"/>
            <w:vMerge w:val="restart"/>
          </w:tcPr>
          <w:p>
            <w:pPr>
              <w:ind w:left="180"/>
              <w:spacing w:after="0"/>
              <w:rPr>
                <w:sz w:val="20"/>
                <w:szCs w:val="20"/>
                <w:color w:val="auto"/>
              </w:rPr>
            </w:pPr>
            <w:r>
              <w:rPr>
                <w:rFonts w:ascii="Arial" w:cs="Arial" w:eastAsia="Arial" w:hAnsi="Arial"/>
                <w:sz w:val="13"/>
                <w:szCs w:val="13"/>
                <w:color w:val="auto"/>
              </w:rPr>
              <w:t>(First)</w:t>
            </w:r>
          </w:p>
        </w:tc>
        <w:tc>
          <w:tcPr>
            <w:tcW w:w="1740" w:type="dxa"/>
            <w:vAlign w:val="bottom"/>
            <w:vMerge w:val="restart"/>
          </w:tcPr>
          <w:p>
            <w:pPr>
              <w:ind w:left="5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05/29/2026</w:t>
            </w:r>
          </w:p>
        </w:tc>
        <w:tc>
          <w:tcPr>
            <w:tcW w:w="29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9"/>
              </w:rPr>
              <w:t>800 BOYLSTON STREET</w:t>
            </w:r>
          </w:p>
        </w:tc>
        <w:tc>
          <w:tcPr>
            <w:tcW w:w="174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29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1900</w:t>
            </w:r>
          </w:p>
        </w:tc>
        <w:tc>
          <w:tcPr>
            <w:tcW w:w="8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29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60"/>
          </w:cols>
          <w:pgMar w:left="460" w:top="216" w:right="37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02199</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00"/>
          </w:cols>
          <w:pgMar w:left="460" w:top="216" w:right="379" w:bottom="1440" w:gutter="0" w:footer="0" w:header="0"/>
          <w:type w:val="continuous"/>
        </w:sectPr>
      </w:pPr>
    </w:p>
    <w:p>
      <w:pPr>
        <w:jc w:val="center"/>
        <w:ind w:righ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36"/>
        </w:trPr>
        <w:tc>
          <w:tcPr>
            <w:tcW w:w="7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r>
    </w:tbl>
    <w:p>
      <w:pPr>
        <w:spacing w:after="0" w:line="46"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6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LTIP</w:t>
            </w:r>
          </w:p>
        </w:tc>
        <w:tc>
          <w:tcPr>
            <w:tcW w:w="7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80" w:type="dxa"/>
            <w:vAlign w:val="bottom"/>
            <w:vMerge w:val="continue"/>
          </w:tcPr>
          <w:p>
            <w:pPr>
              <w:spacing w:after="0"/>
              <w:rPr>
                <w:sz w:val="14"/>
                <w:szCs w:val="14"/>
                <w:color w:val="auto"/>
              </w:rPr>
            </w:pPr>
          </w:p>
        </w:tc>
        <w:tc>
          <w:tcPr>
            <w:tcW w:w="70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008000"/>
              </w:rPr>
              <w:t>(1)</w:t>
            </w:r>
          </w:p>
        </w:tc>
        <w:tc>
          <w:tcPr>
            <w:tcW w:w="1640" w:type="dxa"/>
            <w:vAlign w:val="bottom"/>
            <w:vMerge w:val="restart"/>
          </w:tcPr>
          <w:p>
            <w:pPr>
              <w:jc w:val="right"/>
              <w:ind w:right="695"/>
              <w:spacing w:after="0"/>
              <w:rPr>
                <w:sz w:val="20"/>
                <w:szCs w:val="20"/>
                <w:color w:val="auto"/>
              </w:rPr>
            </w:pPr>
            <w:r>
              <w:rPr>
                <w:rFonts w:ascii="Times New Roman" w:cs="Times New Roman" w:eastAsia="Times New Roman" w:hAnsi="Times New Roman"/>
                <w:sz w:val="13"/>
                <w:szCs w:val="13"/>
                <w:color w:val="0000FF"/>
              </w:rPr>
              <w:t>05/29/2026</w:t>
            </w:r>
          </w:p>
        </w:tc>
        <w:tc>
          <w:tcPr>
            <w:tcW w:w="1160" w:type="dxa"/>
            <w:vAlign w:val="bottom"/>
            <w:vMerge w:val="restart"/>
          </w:tcPr>
          <w:p>
            <w:pPr>
              <w:ind w:left="760"/>
              <w:spacing w:after="0"/>
              <w:rPr>
                <w:sz w:val="20"/>
                <w:szCs w:val="20"/>
                <w:color w:val="auto"/>
              </w:rPr>
            </w:pPr>
            <w:r>
              <w:rPr>
                <w:rFonts w:ascii="Times New Roman" w:cs="Times New Roman" w:eastAsia="Times New Roman" w:hAnsi="Times New Roman"/>
                <w:sz w:val="13"/>
                <w:szCs w:val="13"/>
                <w:color w:val="0000FF"/>
              </w:rPr>
              <w:t>A</w:t>
            </w:r>
          </w:p>
        </w:tc>
        <w:tc>
          <w:tcPr>
            <w:tcW w:w="920" w:type="dxa"/>
            <w:vAlign w:val="bottom"/>
            <w:vMerge w:val="restart"/>
          </w:tcPr>
          <w:p>
            <w:pPr>
              <w:jc w:val="right"/>
              <w:ind w:right="255"/>
              <w:spacing w:after="0"/>
              <w:rPr>
                <w:sz w:val="20"/>
                <w:szCs w:val="20"/>
                <w:color w:val="auto"/>
              </w:rPr>
            </w:pPr>
            <w:r>
              <w:rPr>
                <w:rFonts w:ascii="Times New Roman" w:cs="Times New Roman" w:eastAsia="Times New Roman" w:hAnsi="Times New Roman"/>
                <w:sz w:val="13"/>
                <w:szCs w:val="13"/>
                <w:color w:val="0000FF"/>
              </w:rPr>
              <w:t>3,332</w:t>
            </w:r>
          </w:p>
        </w:tc>
        <w:tc>
          <w:tcPr>
            <w:tcW w:w="86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008000"/>
              </w:rPr>
              <w:t>(1)(2)</w:t>
            </w:r>
          </w:p>
        </w:tc>
        <w:tc>
          <w:tcPr>
            <w:tcW w:w="5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3,332</w:t>
            </w:r>
          </w:p>
        </w:tc>
        <w:tc>
          <w:tcPr>
            <w:tcW w:w="70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0.25</w:t>
            </w:r>
          </w:p>
        </w:tc>
        <w:tc>
          <w:tcPr>
            <w:tcW w:w="900" w:type="dxa"/>
            <w:vAlign w:val="bottom"/>
            <w:vMerge w:val="restart"/>
          </w:tcPr>
          <w:p>
            <w:pPr>
              <w:jc w:val="right"/>
              <w:ind w:right="235"/>
              <w:spacing w:after="0"/>
              <w:rPr>
                <w:sz w:val="20"/>
                <w:szCs w:val="20"/>
                <w:color w:val="auto"/>
              </w:rPr>
            </w:pPr>
            <w:r>
              <w:rPr>
                <w:rFonts w:ascii="Times New Roman" w:cs="Times New Roman" w:eastAsia="Times New Roman" w:hAnsi="Times New Roman"/>
                <w:sz w:val="13"/>
                <w:szCs w:val="13"/>
                <w:color w:val="0000FF"/>
              </w:rPr>
              <w:t>20,739</w:t>
            </w:r>
          </w:p>
        </w:tc>
        <w:tc>
          <w:tcPr>
            <w:tcW w:w="4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w w:val="84"/>
              </w:rPr>
              <w:t>D</w:t>
            </w:r>
          </w:p>
        </w:tc>
        <w:tc>
          <w:tcPr>
            <w:tcW w:w="0" w:type="dxa"/>
            <w:vAlign w:val="bottom"/>
          </w:tcPr>
          <w:p>
            <w:pPr>
              <w:spacing w:after="0"/>
              <w:rPr>
                <w:sz w:val="1"/>
                <w:szCs w:val="1"/>
                <w:color w:val="auto"/>
              </w:rPr>
            </w:pPr>
          </w:p>
        </w:tc>
      </w:tr>
      <w:tr>
        <w:trPr>
          <w:trHeight w:val="117"/>
        </w:trPr>
        <w:tc>
          <w:tcPr>
            <w:tcW w:w="680" w:type="dxa"/>
            <w:vAlign w:val="bottom"/>
          </w:tcPr>
          <w:p>
            <w:pPr>
              <w:spacing w:after="0" w:line="118" w:lineRule="exact"/>
              <w:rPr>
                <w:sz w:val="20"/>
                <w:szCs w:val="20"/>
                <w:color w:val="auto"/>
              </w:rPr>
            </w:pPr>
            <w:r>
              <w:rPr>
                <w:rFonts w:ascii="Times New Roman" w:cs="Times New Roman" w:eastAsia="Times New Roman" w:hAnsi="Times New Roman"/>
                <w:sz w:val="9"/>
                <w:szCs w:val="9"/>
                <w:color w:val="0000FF"/>
              </w:rPr>
              <w:t>Units</w:t>
            </w:r>
            <w:r>
              <w:rPr>
                <w:rFonts w:ascii="Times New Roman" w:cs="Times New Roman" w:eastAsia="Times New Roman" w:hAnsi="Times New Roman"/>
                <w:sz w:val="13"/>
                <w:szCs w:val="13"/>
                <w:color w:val="008000"/>
                <w:vertAlign w:val="superscript"/>
              </w:rPr>
              <w:t>(1)</w:t>
            </w:r>
          </w:p>
        </w:tc>
        <w:tc>
          <w:tcPr>
            <w:tcW w:w="7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jc w:val="center"/>
              <w:ind w:left="55"/>
              <w:spacing w:after="0" w:line="118" w:lineRule="exact"/>
              <w:rPr>
                <w:sz w:val="20"/>
                <w:szCs w:val="20"/>
                <w:color w:val="auto"/>
              </w:rPr>
            </w:pPr>
            <w:r>
              <w:rPr>
                <w:rFonts w:ascii="Times New Roman" w:cs="Times New Roman" w:eastAsia="Times New Roman" w:hAnsi="Times New Roman"/>
                <w:sz w:val="13"/>
                <w:szCs w:val="13"/>
                <w:color w:val="0000FF"/>
                <w:w w:val="99"/>
              </w:rPr>
              <w:t>par value</w:t>
            </w:r>
          </w:p>
        </w:tc>
        <w:tc>
          <w:tcPr>
            <w:tcW w:w="6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rPr>
              <w:t>$0.01</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1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units of limited partnership interest in Boston Properties Limited Partnership ("BPLP"), of which the Issuer is the general partner, issued pursuant to the Issuer's equity based incentive programs ("LTIP Units"). Conditioned upon minimum allocations to the capital accounts of the LTIP Units for federal income tax purposes, each LTIP Unit may be converted, at the election of BPLP or the holder, into a common unit of limited partnership interest in BPLP ("Common OP Unit"). Each Common OP Unit acquired upon conversion of an LTIP Unit may be presented for redemption, at the election of the holder, for cash equal to the then fair market value of a share of the Issuer's common stock, except that the Issuer may, at its election, acquire each Common OP Unit so presented for one share of common stock. LTIP Units have no expiration date.</w:t>
      </w:r>
    </w:p>
    <w:p>
      <w:pPr>
        <w:spacing w:after="0" w:line="28"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3,332 LTIP Units will vest on the earlier of (i) May 29, 2027 and (ii) the date of the BXP's 2027 annual meeting of stockholders.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Kelli A. DiLuglio,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06/02/2026</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480" w:type="dxa"/>
            <w:vAlign w:val="bottom"/>
            <w:tcBorders>
              <w:top w:val="single" w:sz="8" w:color="auto"/>
              <w:bottom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60"/>
      </w:cols>
      <w:pgMar w:left="460" w:top="216"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05577" TargetMode="External"/><Relationship Id="rId14"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2026-06-02T09:14:16Z</dcterms:created>
  <dcterms:modified xsi:type="dcterms:W3CDTF">2026-06-02T09:14:16Z</dcterms:modified>
</cp:coreProperties>
</file>